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3ED5F3">
      <w:pPr>
        <w:keepNext w:val="0"/>
        <w:keepLines w:val="0"/>
        <w:pageBreakBefore w:val="0"/>
        <w:kinsoku/>
        <w:wordWrap/>
        <w:overflowPunct/>
        <w:topLinePunct w:val="0"/>
        <w:autoSpaceDE/>
        <w:autoSpaceDN/>
        <w:bidi w:val="0"/>
        <w:adjustRightInd/>
        <w:snapToGrid/>
        <w:spacing w:line="560" w:lineRule="exact"/>
        <w:jc w:val="center"/>
        <w:rPr>
          <w:rFonts w:hint="default"/>
          <w:lang w:val="en-US"/>
        </w:rPr>
      </w:pPr>
      <w:r>
        <w:rPr>
          <w:rFonts w:hint="eastAsia" w:ascii="方正小标宋简体" w:hAnsi="方正小标宋简体" w:eastAsia="方正小标宋简体" w:cs="方正小标宋简体"/>
          <w:b w:val="0"/>
          <w:bCs w:val="0"/>
          <w:kern w:val="2"/>
          <w:sz w:val="36"/>
          <w:szCs w:val="36"/>
          <w:lang w:val="en-US" w:eastAsia="zh-CN" w:bidi="ar-SA"/>
        </w:rPr>
        <w:t>关于转发《</w:t>
      </w:r>
      <w:r>
        <w:rPr>
          <w:rFonts w:hint="eastAsia" w:ascii="方正小标宋简体" w:hAnsi="方正小标宋简体" w:eastAsia="方正小标宋简体" w:cs="方正小标宋简体"/>
          <w:b w:val="0"/>
          <w:bCs w:val="0"/>
          <w:kern w:val="2"/>
          <w:sz w:val="36"/>
          <w:szCs w:val="36"/>
          <w:lang w:val="en-US" w:eastAsia="zh-CN" w:bidi="ar-SA"/>
        </w:rPr>
        <w:t>2025年天津市哲学社会科学规划大中小学思政课（习近平新时代中国特色社会主义思想课程）一体化研究专项申报公告</w:t>
      </w:r>
      <w:r>
        <w:rPr>
          <w:rFonts w:hint="eastAsia" w:ascii="方正小标宋简体" w:hAnsi="方正小标宋简体" w:eastAsia="方正小标宋简体" w:cs="方正小标宋简体"/>
          <w:b w:val="0"/>
          <w:bCs w:val="0"/>
          <w:kern w:val="2"/>
          <w:sz w:val="36"/>
          <w:szCs w:val="36"/>
          <w:lang w:val="en-US" w:eastAsia="zh-CN" w:bidi="ar-SA"/>
        </w:rPr>
        <w:t>》的通知</w:t>
      </w:r>
    </w:p>
    <w:p w14:paraId="66986F3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560" w:lineRule="exact"/>
        <w:ind w:left="0" w:right="0"/>
        <w:jc w:val="both"/>
        <w:textAlignment w:val="baseline"/>
        <w:rPr>
          <w:rFonts w:hint="eastAsia"/>
        </w:rPr>
      </w:pPr>
      <w:r>
        <w:rPr>
          <w:rFonts w:hint="eastAsia" w:ascii="仿宋_GB2312" w:hAnsi="仿宋_GB2312" w:eastAsia="仿宋_GB2312" w:cs="仿宋_GB2312"/>
          <w:sz w:val="32"/>
          <w:szCs w:val="32"/>
        </w:rPr>
        <w:t>各</w:t>
      </w:r>
      <w:r>
        <w:rPr>
          <w:rFonts w:hint="eastAsia" w:ascii="仿宋_GB2312" w:hAnsi="仿宋_GB2312" w:eastAsia="仿宋_GB2312" w:cs="仿宋_GB2312"/>
          <w:sz w:val="32"/>
          <w:szCs w:val="32"/>
          <w:lang w:eastAsia="zh-CN"/>
        </w:rPr>
        <w:t>学院（部）、相关处室：</w:t>
      </w:r>
    </w:p>
    <w:p w14:paraId="3C6B0DE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天津市哲学社会科学工作办公室现就做好2025年天津市哲学社会科学规划大中小学思政课（习近平新时代中国特色社会主义思想课程）一体化研究专项有关事项公告如下。</w:t>
      </w:r>
    </w:p>
    <w:p w14:paraId="2585FA2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一、项目宗旨</w:t>
      </w:r>
    </w:p>
    <w:p w14:paraId="22DB375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坚持以习近平新时代中国特色社会主义思想为指导，立足新时代伟大实践，落实立德树人根本任务，深入推进大中小学思政课一体化建设，守正创新推动思政课建设内涵式发展，引导广大思政课教师着力在讲准、讲活、讲新、讲透上下功夫，推出高质量专题讲义和优秀案例、网络思政作品，不断提高思政课的针对性和吸引力，推动党的创新理论最新成果入脑入心，坚持不懈用习近平新时代中国特色社会主义思想铸魂育人。</w:t>
      </w:r>
    </w:p>
    <w:p w14:paraId="6E0880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二、项目类型</w:t>
      </w:r>
    </w:p>
    <w:p w14:paraId="37F2546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本次设立的天津市哲学社会科学规划大中小学思政课（习近平新时代中国特色社会主义思想课程）一体化研究专项包括三类，具体如下：</w:t>
      </w:r>
    </w:p>
    <w:p w14:paraId="53E1894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大中小学思政课一体化课程教学研究专项（简称“教学研究专项”）。以高校《习近平新时代中国特色社会主义思想概论》和中小学《习近平新时代中国特色社会主义思想学生读本》教材内容为研究对象，针对各学段课程教学中的重点难点、学生思想困惑等，确立12个专题，按照从小学到大学思政课教学循序渐进、同题进阶、一体化建设的特点，形成课程专题讲义。</w:t>
      </w:r>
    </w:p>
    <w:p w14:paraId="2F87CA8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（二）大中小学实践育人一体化专项（简称“实践育人专项”）。围绕大中小学各学段习近平新时代中国特色社会主义思想课程内容，开展大中小学实践育人一体化案例征集。</w:t>
      </w:r>
    </w:p>
    <w:p w14:paraId="51356F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（三）大中小学网络育人一体化专项（简称“网络育人专项”）。围绕大中小学各学段习近平新时代中国特色社会主义思想课程内容，开展网络思政作品征集。</w:t>
      </w:r>
    </w:p>
    <w:p w14:paraId="224E199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次公告仅受理教学研究专项申报。实践育人专项和网络育人专项具体由市教育两委组织实施，通知另发。实践育人专项和网络育人专项成果结项鉴定等级为优秀的，按程序认定为天津市哲学社会科学规划项目（同一申请人在教学研究专项中获批立项的，如实践育人专项或网络育人专项成果结项鉴定等级为优秀，不再认定为市社科规划项目；同一申请人申报实践育人专项和网络育人专项，且成果结项鉴定等级均为优秀的，只能择其一按程序认定为市社科规划项目）。</w:t>
      </w:r>
    </w:p>
    <w:p w14:paraId="528F9C7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三、教学研究专项申报对象</w:t>
      </w:r>
    </w:p>
    <w:p w14:paraId="56472CD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主要面向天津普通高等学校（含中央驻津高校、中国民航大学、河北工业大学、天津市属高职院校和民办院校）的专兼职思政课教师、辅导员。</w:t>
      </w:r>
    </w:p>
    <w:p w14:paraId="0F3152B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四、教学研究专项申报条件及要求</w:t>
      </w:r>
    </w:p>
    <w:p w14:paraId="0D4F87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（一）申请人条件</w:t>
      </w:r>
    </w:p>
    <w:p w14:paraId="34C6C1D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1.遵守中华人民共和国宪法和法律，遵守天津市哲学社会科学规划管理有关规定，坚持正确的政治方向、价值取向和研究导向，社会责任感强，学风优良。</w:t>
      </w:r>
    </w:p>
    <w:p w14:paraId="3490A7E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须为高校在职教师，具有中级以上（含）专业技术职称或博士学位。不符合以上条件但从事思政课教学满3年，且获市级思政课教学比武或故事思政大赛或思政课教师演讲比赛二等奖及以上者，或者获天津市高校思政课教师辩论赛（本科组、高职组）季军及以上代表队成员，或者指导大学生讲思政课大赛获二等奖及以上者，也可以申报。</w:t>
      </w:r>
    </w:p>
    <w:p w14:paraId="3482F3E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3.须实际从事学生思想政治教育工作，具有承担实质性教学研究工作的能力。获批立项后，原则上课题负责人不得变更。</w:t>
      </w:r>
    </w:p>
    <w:p w14:paraId="631F397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（二）申请人所在单位条件</w:t>
      </w:r>
    </w:p>
    <w:p w14:paraId="388E6F3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1.在开设思政课方面具有较强的师资队伍和教学经验。</w:t>
      </w:r>
    </w:p>
    <w:p w14:paraId="4E3FFAE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2.设有专门负责科研管理工作的职能部门。</w:t>
      </w:r>
    </w:p>
    <w:p w14:paraId="47DC4CD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3.能够为研究专项的实施提供必要条件，并承诺信誉保证。</w:t>
      </w:r>
    </w:p>
    <w:p w14:paraId="55F45B0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（三）申报要求</w:t>
      </w:r>
    </w:p>
    <w:p w14:paraId="3A730FF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1.除申请人外，课题组成员须覆盖小学、初中、高中各学段。每学段至少1人、最多不超过3人。其中，中小学各学段课题组成员可为专兼职思政课教师、班主任或市、区两级思政课教研人员。</w:t>
      </w:r>
    </w:p>
    <w:p w14:paraId="343BBA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申请人本次只能申报1项，且不能作为本次其他课题组成员参与申报。中小学各学段排名在前的课题组成员作为该学段负责人，且不能作为其他课题组成员参与申请。课题组其他成员本次最多可以参与申请2个项目。</w:t>
      </w:r>
    </w:p>
    <w:p w14:paraId="5F99C5E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3.各高校教学研究专项限报6项，且各专题只能申报1项。</w:t>
      </w:r>
    </w:p>
    <w:p w14:paraId="65520C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天津市高校思政课教师演讲比赛特等奖、一等奖获得者，天津市故事思政大赛（本科组、高职组）特等奖获得者，以及天津市高校思政课教师辩论赛（本科组、高职组）冠军代表队成员（每组不超过8人，以报名表为准），不占所在单位申报名额，申报专题不能重复（可与本校限报课题的专题重复）。</w:t>
      </w:r>
    </w:p>
    <w:p w14:paraId="1FFEBEA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申请人须在申报期限内如实填写有关申报信息，不得有违背科研诚信要求的行为。凡有抄袭剽窃、弄虚作假、违规违纪等行为的，一经查实，即取消参评资格；获批立项的一律按撤项处理并向有关单位通报，3年内不得申报天津市哲学社会科学规划项目。</w:t>
      </w:r>
    </w:p>
    <w:p w14:paraId="2C822D7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课题研究成果全部知识产权归中共天津市委宣传部，未经批准，不得自行发表或用作其他用途。申请人须承诺有关研究成果可以无偿提供天津市社科工作办和天津市教育两委有关部门进行后续的开发和运用，以及可以无偿供全市高校思政课教师应用于日常思政课程教学过程之中。</w:t>
      </w:r>
    </w:p>
    <w:p w14:paraId="6F7F7B8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五、教学研究专项成果形式及规范</w:t>
      </w:r>
    </w:p>
    <w:p w14:paraId="090FD60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课题研究要坚持正确政治方向，遵循教育规律，突出教学导向，注重教学质效，兼顾大中小学各学段研究成果的体例和形式的一致性和均衡性。</w:t>
      </w:r>
    </w:p>
    <w:p w14:paraId="4DE6D6C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（一）成果形式</w:t>
      </w:r>
    </w:p>
    <w:p w14:paraId="23B63D2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专题讲义及其配套教学课件。大学学段专题讲义篇幅限定0.5-1万字，教学课件（PPT）限定20-50页。中小学各学段专题讲义篇幅限定0.3-0.8万字，教学课件（PPT）限定10-30页。</w:t>
      </w:r>
    </w:p>
    <w:p w14:paraId="6CD9FCD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（二）成果规范</w:t>
      </w:r>
    </w:p>
    <w:p w14:paraId="592D056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专题讲义须严格依据《习近平新时代中国特色社会主义思想概论》《习近平新时代中国特色社会主义思想学生读本》教材课程内容，结合实际，突出小学、初中、高中、大学螺旋式上升的一体四阶贯通式特点，做到准确、真实、鲜活、新颖，体现鲜明的时代特征、问题导向和创新意识。各学段专题讲义均须包括至少2个案例。　　</w:t>
      </w:r>
    </w:p>
    <w:p w14:paraId="2AB7407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2.教学课件（PPT）设计应简洁、美观、大方，须与专题讲义相互呼应关照，力求直观、准确、生动，可视化展示专题讲义内容，能够直接应用于一线教学实践。</w:t>
      </w:r>
    </w:p>
    <w:p w14:paraId="19019BF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六、教学研究专项研究周期及结项</w:t>
      </w:r>
    </w:p>
    <w:p w14:paraId="232458C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1.研究周期为5个月，自立项之日起算。每项课题给予5000元经费支持，立项后拨付50%，达到结项要求后拨付剩余50%。项目研究期满后，由天津市社科工作办组织结项鉴定，成果等级分优秀、良好、合格、不合格。</w:t>
      </w:r>
    </w:p>
    <w:p w14:paraId="1B096F2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2.鉴定等级合格及以上的准予结项，拨付项目尾款。鉴定等级不合格的不予结项，逾期未完成研究任务或未提交研究成果的终止研究，均不再拨付项目尾款。</w:t>
      </w:r>
    </w:p>
    <w:p w14:paraId="1812124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七、教学研究专项工作安排</w:t>
      </w:r>
    </w:p>
    <w:p w14:paraId="02D13E4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申报材料一律从本公告附件中下载，并确保填报信息完整、准确、真实、规范。项目《申请书》和《课题设计论证》（活页）要求A3纸双面印制、中缝装订。项目《申请书》一式3份，《课题设计论证》（活页）一式5份，申报材料汇总表1份报送科研与国际交流处，电子版发至邮箱tyky2015@126.com。</w:t>
      </w:r>
    </w:p>
    <w:p w14:paraId="3675A09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2.报送截止时间为2025年4月8日，逾期不予受理。申报材料不予退回。</w:t>
      </w:r>
    </w:p>
    <w:p w14:paraId="16568AA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附件：1.教学研究专项</w:t>
      </w:r>
      <w:bookmarkStart w:id="0" w:name="_GoBack"/>
      <w:bookmarkEnd w:id="0"/>
      <w:r>
        <w:rPr>
          <w:rFonts w:hint="eastAsia" w:ascii="仿宋_GB2312" w:hAnsi="仿宋_GB2312" w:eastAsia="仿宋_GB2312" w:cs="仿宋_GB2312"/>
          <w:sz w:val="32"/>
          <w:szCs w:val="32"/>
          <w:lang w:val="en-US" w:eastAsia="zh-CN"/>
        </w:rPr>
        <w:t>研究专题</w:t>
      </w:r>
    </w:p>
    <w:p w14:paraId="7180730C">
      <w:pPr>
        <w:keepNext w:val="0"/>
        <w:keepLines w:val="0"/>
        <w:pageBreakBefore w:val="0"/>
        <w:widowControl w:val="0"/>
        <w:kinsoku/>
        <w:wordWrap/>
        <w:overflowPunct/>
        <w:topLinePunct w:val="0"/>
        <w:autoSpaceDE/>
        <w:autoSpaceDN/>
        <w:bidi w:val="0"/>
        <w:adjustRightInd/>
        <w:snapToGrid/>
        <w:spacing w:line="560" w:lineRule="exact"/>
        <w:ind w:firstLine="1600" w:firstLineChars="5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2.申请书</w:t>
      </w:r>
    </w:p>
    <w:p w14:paraId="35C1DEF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3.课题论证活页</w:t>
      </w:r>
    </w:p>
    <w:p w14:paraId="2A2E2AA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4.申报材料汇总表</w:t>
      </w:r>
    </w:p>
    <w:p w14:paraId="61B69D7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p>
    <w:p w14:paraId="08A7EE4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p>
    <w:p w14:paraId="1C1AE29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righ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科研与国际交流处     </w:t>
      </w:r>
    </w:p>
    <w:p w14:paraId="178D003D">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2025年3月4日 </w:t>
      </w:r>
    </w:p>
    <w:p w14:paraId="444F8CD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p>
    <w:sectPr>
      <w:pgSz w:w="11906" w:h="16838"/>
      <w:pgMar w:top="2098" w:right="1474" w:bottom="2098"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536976"/>
    <w:rsid w:val="35BA2C0D"/>
    <w:rsid w:val="7D5D40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2822</Words>
  <Characters>2920</Characters>
  <Lines>0</Lines>
  <Paragraphs>0</Paragraphs>
  <TotalTime>21</TotalTime>
  <ScaleCrop>false</ScaleCrop>
  <LinksUpToDate>false</LinksUpToDate>
  <CharactersWithSpaces>3142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2025-03-04T03:20:00Z</dcterms:created>
  <dc:creator>93428</dc:creator>
  <cp:lastModifiedBy>蜜蜜思语</cp:lastModifiedBy>
  <dcterms:modified xsi:type="dcterms:W3CDTF">2025-03-04T04:48:27Z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eyJoZGlkIjoiYjUxMWM1ODdlNjc2ODUzNjhlMzNjZjc1YjIwZmZhNWQiLCJ1c2VySWQiOiI1NDAwODQxNTgifQ==</vt:lpwstr>
  </property>
  <property fmtid="{D5CDD505-2E9C-101B-9397-08002B2CF9AE}" pid="4" name="ICV">
    <vt:lpwstr>E89F3025D24A4048BE78B208C3B5EC12_12</vt:lpwstr>
  </property>
</Properties>
</file>